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A9" w:rsidRPr="000320A9" w:rsidRDefault="000320A9" w:rsidP="000320A9">
      <w:pPr>
        <w:jc w:val="both"/>
        <w:rPr>
          <w:rFonts w:ascii="Times New Roman" w:hAnsi="Times New Roman"/>
          <w:b/>
          <w:sz w:val="24"/>
          <w:lang w:val="en-US" w:eastAsia="en-US"/>
        </w:rPr>
      </w:pPr>
      <w:r w:rsidRPr="000320A9">
        <w:rPr>
          <w:rFonts w:ascii="Times New Roman" w:hAnsi="Times New Roman"/>
          <w:b/>
          <w:iCs/>
          <w:sz w:val="24"/>
        </w:rPr>
        <w:t>OPERATOR ECONOMIC</w:t>
      </w:r>
    </w:p>
    <w:p w:rsidR="000320A9" w:rsidRDefault="000320A9" w:rsidP="000320A9">
      <w:pPr>
        <w:pStyle w:val="NoSpacing"/>
        <w:jc w:val="both"/>
        <w:rPr>
          <w:rFonts w:ascii="Times New Roman" w:hAnsi="Times New Roman"/>
        </w:rPr>
      </w:pPr>
    </w:p>
    <w:p w:rsidR="000320A9" w:rsidRDefault="000320A9" w:rsidP="000320A9">
      <w:pPr>
        <w:jc w:val="both"/>
        <w:rPr>
          <w:rFonts w:ascii="Times New Roman" w:hAnsi="Times New Roman"/>
        </w:rPr>
      </w:pPr>
    </w:p>
    <w:p w:rsidR="000320A9" w:rsidRPr="000320A9" w:rsidRDefault="000320A9" w:rsidP="000320A9">
      <w:pPr>
        <w:jc w:val="both"/>
        <w:rPr>
          <w:rFonts w:ascii="Times New Roman" w:hAnsi="Times New Roman"/>
          <w:sz w:val="24"/>
        </w:rPr>
      </w:pPr>
      <w:bookmarkStart w:id="0" w:name="_GoBack"/>
      <w:r w:rsidRPr="000320A9">
        <w:rPr>
          <w:rFonts w:ascii="Times New Roman" w:hAnsi="Times New Roman"/>
          <w:sz w:val="24"/>
        </w:rPr>
        <w:t>Centralizator de prețuri</w:t>
      </w:r>
    </w:p>
    <w:bookmarkEnd w:id="0"/>
    <w:p w:rsidR="000320A9" w:rsidRDefault="000320A9" w:rsidP="000320A9">
      <w:pPr>
        <w:keepNext/>
        <w:ind w:left="2880" w:firstLine="720"/>
        <w:jc w:val="both"/>
        <w:outlineLvl w:val="1"/>
        <w:rPr>
          <w:rFonts w:ascii="Calibri" w:hAnsi="Calibri"/>
          <w:b/>
          <w:bCs/>
          <w:u w:val="single"/>
        </w:rPr>
      </w:pPr>
    </w:p>
    <w:p w:rsidR="000320A9" w:rsidRDefault="000320A9" w:rsidP="000320A9">
      <w:pPr>
        <w:keepNext/>
        <w:ind w:left="1418" w:firstLine="720"/>
        <w:jc w:val="both"/>
        <w:outlineLvl w:val="1"/>
        <w:rPr>
          <w:b/>
          <w:bCs/>
          <w:u w:val="single"/>
        </w:rPr>
      </w:pPr>
    </w:p>
    <w:tbl>
      <w:tblPr>
        <w:tblW w:w="4857" w:type="pct"/>
        <w:tblInd w:w="119" w:type="dxa"/>
        <w:tblLook w:val="04A0" w:firstRow="1" w:lastRow="0" w:firstColumn="1" w:lastColumn="0" w:noHBand="0" w:noVBand="1"/>
      </w:tblPr>
      <w:tblGrid>
        <w:gridCol w:w="1009"/>
        <w:gridCol w:w="5369"/>
        <w:gridCol w:w="2398"/>
      </w:tblGrid>
      <w:tr w:rsidR="000320A9" w:rsidTr="000320A9">
        <w:trPr>
          <w:trHeight w:val="330"/>
        </w:trPr>
        <w:tc>
          <w:tcPr>
            <w:tcW w:w="575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noWrap/>
            <w:vAlign w:val="bottom"/>
            <w:hideMark/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</w:t>
            </w:r>
          </w:p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Crt.</w:t>
            </w:r>
          </w:p>
        </w:tc>
        <w:tc>
          <w:tcPr>
            <w:tcW w:w="3059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noWrap/>
            <w:vAlign w:val="bottom"/>
            <w:hideMark/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Activitate</w:t>
            </w:r>
          </w:p>
        </w:tc>
        <w:tc>
          <w:tcPr>
            <w:tcW w:w="1366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Pret (lei) fără TVA</w:t>
            </w: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57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305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b/>
                <w:bCs/>
                <w:u w:val="single"/>
              </w:rPr>
            </w:pPr>
          </w:p>
        </w:tc>
      </w:tr>
      <w:tr w:rsidR="000320A9" w:rsidTr="000320A9">
        <w:trPr>
          <w:trHeight w:val="330"/>
        </w:trPr>
        <w:tc>
          <w:tcPr>
            <w:tcW w:w="363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0320A9" w:rsidRDefault="000320A9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TOTAL</w:t>
            </w:r>
          </w:p>
        </w:tc>
        <w:tc>
          <w:tcPr>
            <w:tcW w:w="13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320A9" w:rsidRDefault="000320A9">
            <w:pPr>
              <w:keepNext/>
              <w:jc w:val="both"/>
              <w:outlineLvl w:val="1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0320A9" w:rsidRDefault="000320A9" w:rsidP="000320A9">
      <w:pPr>
        <w:keepNext/>
        <w:ind w:left="2880" w:firstLine="720"/>
        <w:jc w:val="both"/>
        <w:outlineLvl w:val="1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0320A9" w:rsidRPr="00BF0EAE" w:rsidRDefault="000320A9" w:rsidP="000320A9">
      <w:pPr>
        <w:jc w:val="both"/>
        <w:rPr>
          <w:rFonts w:ascii="Times New Roman" w:hAnsi="Times New Roman"/>
          <w:sz w:val="24"/>
        </w:rPr>
      </w:pPr>
      <w:r w:rsidRPr="00BF0EAE">
        <w:rPr>
          <w:rFonts w:ascii="Times New Roman" w:hAnsi="Times New Roman"/>
          <w:sz w:val="24"/>
        </w:rPr>
        <w:t>Data _____/___ __/___</w:t>
      </w:r>
    </w:p>
    <w:p w:rsidR="000320A9" w:rsidRPr="00BF0EAE" w:rsidRDefault="000320A9" w:rsidP="000320A9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 w:rsidRPr="00BF0EAE">
        <w:rPr>
          <w:rFonts w:ascii="Times New Roman" w:hAnsi="Times New Roman"/>
          <w:i/>
          <w:iCs/>
          <w:sz w:val="24"/>
        </w:rPr>
        <w:t>Operator economic,</w:t>
      </w:r>
    </w:p>
    <w:p w:rsidR="000320A9" w:rsidRPr="00BF0EAE" w:rsidRDefault="000320A9" w:rsidP="000320A9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 w:rsidRPr="00BF0EAE">
        <w:rPr>
          <w:rFonts w:ascii="Times New Roman" w:hAnsi="Times New Roman"/>
          <w:i/>
          <w:iCs/>
          <w:sz w:val="24"/>
        </w:rPr>
        <w:t>……………………….</w:t>
      </w:r>
    </w:p>
    <w:p w:rsidR="000320A9" w:rsidRPr="00BF0EAE" w:rsidRDefault="000320A9" w:rsidP="000320A9">
      <w:pPr>
        <w:pStyle w:val="NoSpacing"/>
        <w:jc w:val="both"/>
        <w:rPr>
          <w:rFonts w:ascii="Times New Roman" w:hAnsi="Times New Roman"/>
          <w:sz w:val="24"/>
        </w:rPr>
      </w:pPr>
      <w:r w:rsidRPr="00BF0EAE">
        <w:rPr>
          <w:rFonts w:ascii="Times New Roman" w:hAnsi="Times New Roman"/>
          <w:sz w:val="24"/>
        </w:rPr>
        <w:t>(semnătura autorizată )</w:t>
      </w:r>
    </w:p>
    <w:p w:rsidR="000320A9" w:rsidRDefault="000320A9" w:rsidP="000320A9">
      <w:pPr>
        <w:pStyle w:val="NoSpacing"/>
        <w:jc w:val="both"/>
        <w:rPr>
          <w:rFonts w:ascii="Times New Roman" w:hAnsi="Times New Roman"/>
        </w:rPr>
      </w:pPr>
    </w:p>
    <w:p w:rsidR="00183251" w:rsidRPr="000320A9" w:rsidRDefault="00183251" w:rsidP="000320A9"/>
    <w:sectPr w:rsidR="00183251" w:rsidRPr="000320A9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EE" w:rsidRDefault="00E911EE" w:rsidP="00564BC5">
      <w:pPr>
        <w:spacing w:before="0"/>
      </w:pPr>
      <w:r>
        <w:separator/>
      </w:r>
    </w:p>
  </w:endnote>
  <w:endnote w:type="continuationSeparator" w:id="0">
    <w:p w:rsidR="00E911EE" w:rsidRDefault="00E911EE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C68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EE" w:rsidRDefault="00E911EE" w:rsidP="00564BC5">
      <w:pPr>
        <w:spacing w:before="0"/>
      </w:pPr>
      <w:r>
        <w:separator/>
      </w:r>
    </w:p>
  </w:footnote>
  <w:footnote w:type="continuationSeparator" w:id="0">
    <w:p w:rsidR="00E911EE" w:rsidRDefault="00E911EE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320A9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C68BA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BF0EAE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11EE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7F5E-D709-487B-B6D4-49E2207D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centralizator preturi;achizitii publice</cp:keywords>
  <cp:lastModifiedBy>Asus</cp:lastModifiedBy>
  <cp:revision>2</cp:revision>
  <dcterms:created xsi:type="dcterms:W3CDTF">2017-08-10T11:34:00Z</dcterms:created>
  <dcterms:modified xsi:type="dcterms:W3CDTF">2017-08-10T11:34:00Z</dcterms:modified>
</cp:coreProperties>
</file>